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E74E" w14:textId="466BBE47" w:rsidR="007A19CC" w:rsidRDefault="007A19CC" w:rsidP="00A24B36">
      <w:pPr>
        <w:ind w:right="28"/>
        <w:jc w:val="both"/>
        <w:rPr>
          <w:rFonts w:ascii="Calibri" w:hAnsi="Calibri" w:cs="Calibri"/>
          <w:b/>
          <w:sz w:val="24"/>
        </w:rPr>
      </w:pPr>
      <w:bookmarkStart w:id="0" w:name="_GoBack"/>
      <w:bookmarkEnd w:id="0"/>
      <w:r w:rsidRPr="00846CF2">
        <w:rPr>
          <w:rFonts w:ascii="Calibri" w:hAnsi="Calibri" w:cs="Calibri"/>
          <w:b/>
          <w:bCs/>
          <w:u w:val="single"/>
        </w:rPr>
        <w:t xml:space="preserve">Załącznik nr </w:t>
      </w:r>
      <w:r w:rsidR="00D9630C" w:rsidRPr="00846CF2">
        <w:rPr>
          <w:rFonts w:ascii="Calibri" w:hAnsi="Calibri" w:cs="Calibri"/>
          <w:b/>
          <w:bCs/>
          <w:u w:val="single"/>
        </w:rPr>
        <w:t>1</w:t>
      </w:r>
      <w:r w:rsidRPr="004764A3">
        <w:rPr>
          <w:rFonts w:ascii="Calibri" w:hAnsi="Calibri" w:cs="Calibri"/>
          <w:b/>
          <w:bCs/>
        </w:rPr>
        <w:t xml:space="preserve"> </w:t>
      </w:r>
      <w:r w:rsidR="00846CF2">
        <w:rPr>
          <w:rFonts w:ascii="Calibri" w:hAnsi="Calibri" w:cs="Calibri"/>
          <w:b/>
          <w:bCs/>
        </w:rPr>
        <w:t xml:space="preserve"> </w:t>
      </w:r>
      <w:r w:rsidRPr="004764A3">
        <w:rPr>
          <w:rFonts w:ascii="Calibri" w:hAnsi="Calibri" w:cs="Calibri"/>
          <w:b/>
          <w:bCs/>
        </w:rPr>
        <w:t xml:space="preserve">do </w:t>
      </w:r>
      <w:r w:rsidRPr="004764A3">
        <w:rPr>
          <w:rFonts w:ascii="Calibri" w:hAnsi="Calibri" w:cs="Calibri"/>
          <w:b/>
          <w:bCs/>
          <w:sz w:val="24"/>
        </w:rPr>
        <w:t>P</w:t>
      </w:r>
      <w:r w:rsidR="008E33F4">
        <w:rPr>
          <w:rFonts w:ascii="Calibri" w:hAnsi="Calibri" w:cs="Calibri"/>
          <w:b/>
          <w:bCs/>
          <w:sz w:val="24"/>
        </w:rPr>
        <w:t>olityki</w:t>
      </w:r>
      <w:r w:rsidRPr="004764A3">
        <w:rPr>
          <w:rFonts w:ascii="Calibri" w:hAnsi="Calibri" w:cs="Calibri"/>
          <w:b/>
          <w:sz w:val="24"/>
        </w:rPr>
        <w:t xml:space="preserve"> przyjmowania</w:t>
      </w:r>
      <w:r w:rsidRPr="004764A3">
        <w:rPr>
          <w:rFonts w:ascii="Calibri" w:hAnsi="Calibri" w:cs="Calibri"/>
          <w:b/>
          <w:spacing w:val="-4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zgłoszeń</w:t>
      </w:r>
      <w:r w:rsidRPr="004764A3">
        <w:rPr>
          <w:rFonts w:ascii="Calibri" w:hAnsi="Calibri" w:cs="Calibri"/>
          <w:b/>
          <w:spacing w:val="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naruszeń</w:t>
      </w:r>
      <w:r w:rsidRPr="004764A3">
        <w:rPr>
          <w:rFonts w:ascii="Calibri" w:hAnsi="Calibri" w:cs="Calibri"/>
          <w:b/>
          <w:spacing w:val="-3"/>
          <w:sz w:val="24"/>
        </w:rPr>
        <w:t xml:space="preserve"> prawa </w:t>
      </w:r>
      <w:r w:rsidRPr="004764A3">
        <w:rPr>
          <w:rFonts w:ascii="Calibri" w:hAnsi="Calibri" w:cs="Calibri"/>
          <w:b/>
          <w:sz w:val="24"/>
        </w:rPr>
        <w:t>i</w:t>
      </w:r>
      <w:r w:rsidRPr="004764A3">
        <w:rPr>
          <w:rFonts w:ascii="Calibri" w:hAnsi="Calibri" w:cs="Calibri"/>
          <w:b/>
          <w:spacing w:val="-2"/>
          <w:sz w:val="24"/>
        </w:rPr>
        <w:t xml:space="preserve"> podejmowania</w:t>
      </w:r>
      <w:r w:rsidRPr="004764A3">
        <w:rPr>
          <w:rFonts w:ascii="Calibri" w:hAnsi="Calibri" w:cs="Calibri"/>
          <w:b/>
          <w:sz w:val="24"/>
        </w:rPr>
        <w:t xml:space="preserve"> w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związku</w:t>
      </w:r>
      <w:r w:rsidRPr="004764A3">
        <w:rPr>
          <w:rFonts w:ascii="Calibri" w:hAnsi="Calibri" w:cs="Calibri"/>
          <w:b/>
          <w:spacing w:val="-3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</w:t>
      </w:r>
      <w:r w:rsidRPr="004764A3">
        <w:rPr>
          <w:rFonts w:ascii="Calibri" w:hAnsi="Calibri" w:cs="Calibri"/>
          <w:b/>
          <w:spacing w:val="-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nimi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działań</w:t>
      </w:r>
      <w:r w:rsidRPr="004764A3">
        <w:rPr>
          <w:rFonts w:ascii="Calibri" w:hAnsi="Calibri" w:cs="Calibri"/>
          <w:b/>
          <w:spacing w:val="-2"/>
          <w:sz w:val="24"/>
        </w:rPr>
        <w:t xml:space="preserve"> następczych </w:t>
      </w:r>
    </w:p>
    <w:p w14:paraId="04199C7B" w14:textId="77777777" w:rsidR="00DA5084" w:rsidRDefault="00DA5084" w:rsidP="00A24B36">
      <w:pPr>
        <w:ind w:right="28"/>
        <w:jc w:val="both"/>
        <w:rPr>
          <w:rFonts w:ascii="Calibri" w:hAnsi="Calibri" w:cs="Calibri"/>
          <w:b/>
          <w:sz w:val="24"/>
        </w:rPr>
      </w:pPr>
    </w:p>
    <w:p w14:paraId="0B0169B8" w14:textId="280418B2" w:rsidR="00DA5084" w:rsidRPr="00DA5084" w:rsidRDefault="00DA5084" w:rsidP="00D9630C">
      <w:pPr>
        <w:ind w:right="28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                                                 </w:t>
      </w:r>
      <w:r w:rsidRPr="00DA5084">
        <w:rPr>
          <w:rFonts w:ascii="Calibri" w:hAnsi="Calibri" w:cs="Calibri"/>
          <w:bCs/>
          <w:sz w:val="24"/>
        </w:rPr>
        <w:t xml:space="preserve"> </w:t>
      </w:r>
    </w:p>
    <w:p w14:paraId="6D3FFBA6" w14:textId="77777777" w:rsidR="00A24B36" w:rsidRPr="004764A3" w:rsidRDefault="00A24B36" w:rsidP="00A24B36">
      <w:pPr>
        <w:ind w:right="28"/>
        <w:jc w:val="both"/>
        <w:rPr>
          <w:rFonts w:ascii="Calibri" w:hAnsi="Calibri" w:cs="Calibri"/>
          <w:b/>
          <w:spacing w:val="-7"/>
          <w:sz w:val="24"/>
        </w:rPr>
      </w:pPr>
    </w:p>
    <w:p w14:paraId="59F44DC0" w14:textId="24E39D2D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0C57B3DE" w14:textId="77777777" w:rsidR="007A19CC" w:rsidRPr="004764A3" w:rsidRDefault="007A19CC" w:rsidP="007A19CC">
      <w:pPr>
        <w:pStyle w:val="Tekstpodstawowy"/>
        <w:spacing w:before="106"/>
        <w:rPr>
          <w:rFonts w:ascii="Calibri" w:hAnsi="Calibri" w:cs="Calibri"/>
        </w:rPr>
      </w:pPr>
    </w:p>
    <w:p w14:paraId="1B9BFB75" w14:textId="69537190" w:rsidR="007A19CC" w:rsidRDefault="00D9630C" w:rsidP="007A19CC">
      <w:pPr>
        <w:pStyle w:val="Nagwek1"/>
        <w:spacing w:before="1"/>
        <w:ind w:left="3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KATALOG ZABRONIONYCH DZIAŁAŃ ODWETOWYCH</w:t>
      </w:r>
    </w:p>
    <w:p w14:paraId="31AAD861" w14:textId="77777777" w:rsidR="00D9630C" w:rsidRDefault="00D9630C" w:rsidP="00D9630C"/>
    <w:p w14:paraId="4D75BE41" w14:textId="2A49AC0E" w:rsidR="00D9630C" w:rsidRDefault="00D9630C" w:rsidP="00D9630C">
      <w:pPr>
        <w:rPr>
          <w:rFonts w:ascii="Calibri" w:hAnsi="Calibri" w:cs="Calibri"/>
          <w:sz w:val="24"/>
          <w:szCs w:val="24"/>
        </w:rPr>
      </w:pPr>
    </w:p>
    <w:p w14:paraId="29311F52" w14:textId="68CCF1E8" w:rsidR="00D9630C" w:rsidRDefault="00D9630C" w:rsidP="00D9630C">
      <w:pPr>
        <w:ind w:left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zabronionych działań odwetowych należą w szczególności:</w:t>
      </w:r>
    </w:p>
    <w:p w14:paraId="74B61E44" w14:textId="501D1ECF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odmowa nawiązania stosunku pracy;</w:t>
      </w:r>
    </w:p>
    <w:p w14:paraId="2F8EAE67" w14:textId="427EA4AE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wypowiedzenie lub rozwiązanie bez wypowiedzenia stosunku pracy;</w:t>
      </w:r>
    </w:p>
    <w:p w14:paraId="442F2CE9" w14:textId="41BEB804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zawarcie kolejnej umowy o pracę po wygaśnięciu umowy o pracę na okres próbny, czas określony- w sytuacji gdy pracownik miał uzasadnione oczekiwanie, że zostanie z nim zawarta taka umowa;</w:t>
      </w:r>
    </w:p>
    <w:p w14:paraId="247AB8B6" w14:textId="09AA077E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obniżenie wynagrodzenia za pracę;</w:t>
      </w:r>
    </w:p>
    <w:p w14:paraId="7B9A5174" w14:textId="5AF10885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wstrzymanie awansu albo pominięcie przy awansie;</w:t>
      </w:r>
    </w:p>
    <w:p w14:paraId="28A15FE0" w14:textId="5C1DD131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pominięcie przy przyznawaniu innych niż wynagrodzenie świadczeń związanych z pracą;</w:t>
      </w:r>
    </w:p>
    <w:p w14:paraId="575E6A38" w14:textId="2365AB33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przeniesienie pracownika na niższe stanowisko pracy;</w:t>
      </w:r>
    </w:p>
    <w:p w14:paraId="67E91822" w14:textId="242E6DEF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zawieszenie w wykonaniu obowiązków pracowniczych lub służbowych;</w:t>
      </w:r>
    </w:p>
    <w:p w14:paraId="32289A0A" w14:textId="6AA12376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przekazanie innemu pracownikowi dotychczasowych obowiązków pracownika;</w:t>
      </w:r>
    </w:p>
    <w:p w14:paraId="4A6EAD0E" w14:textId="29045C21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niekorzystną zmianę miejsca wykonywania pracy lub rozkładu czasu pracy;</w:t>
      </w:r>
    </w:p>
    <w:p w14:paraId="553D3AC4" w14:textId="40D48810" w:rsidR="00D9630C" w:rsidRDefault="00D9630C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negatywną ocenę wyników pracy lub negatywną opinię o pracy;</w:t>
      </w:r>
    </w:p>
    <w:p w14:paraId="17C38135" w14:textId="7EBE464B" w:rsidR="00D9630C" w:rsidRDefault="003552B9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nałożenie lub zastosowanie środka dyscyplinarnego, w tym kary finansowej lub środka o podobnym charakterze;</w:t>
      </w:r>
    </w:p>
    <w:p w14:paraId="3FD9F175" w14:textId="2082AC5F" w:rsidR="003552B9" w:rsidRDefault="003552B9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wstrzymanie udziału lub pominięcie przy typowaniu do udziału w szkoleniach podnoszących kwalifikacje zawodowe;</w:t>
      </w:r>
    </w:p>
    <w:p w14:paraId="477D9569" w14:textId="51CD8E3A" w:rsidR="003552B9" w:rsidRDefault="003552B9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nieuzasadnione skierowanie na badania lekarskie, w tym badania psychiatryczne, o ile przepisy odrębne przewidują możliwość skierowania pracownika na takie badania;</w:t>
      </w:r>
    </w:p>
    <w:p w14:paraId="11748AEF" w14:textId="0FB99082" w:rsidR="003552B9" w:rsidRDefault="003552B9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działanie zmierzające do utrudnienia znalezienia w przyszłości zatrudnienia w danym sektorze lub branży;</w:t>
      </w:r>
    </w:p>
    <w:p w14:paraId="067D733F" w14:textId="02A089C8" w:rsidR="003552B9" w:rsidRPr="00D9630C" w:rsidRDefault="003552B9" w:rsidP="00D9630C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podejmowanie innych działań, których skutkiem lub celem jest pogorszenie sytuacji pracowniczej.</w:t>
      </w:r>
    </w:p>
    <w:p w14:paraId="21492173" w14:textId="77777777" w:rsidR="007A19CC" w:rsidRPr="004764A3" w:rsidRDefault="007A19CC" w:rsidP="007A19CC">
      <w:pPr>
        <w:pStyle w:val="Tekstpodstawowy"/>
        <w:spacing w:before="322"/>
        <w:rPr>
          <w:rFonts w:ascii="Calibri" w:hAnsi="Calibri" w:cs="Calibri"/>
          <w:b/>
        </w:rPr>
      </w:pPr>
    </w:p>
    <w:p w14:paraId="69113CC6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55555BBC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46AD130A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78C03501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51AE30AB" w14:textId="77777777" w:rsidR="00DD6CD7" w:rsidRPr="004764A3" w:rsidRDefault="00DD6CD7">
      <w:pPr>
        <w:rPr>
          <w:rFonts w:ascii="Calibri" w:hAnsi="Calibri" w:cs="Calibri"/>
        </w:rPr>
      </w:pPr>
    </w:p>
    <w:sectPr w:rsidR="00DD6CD7" w:rsidRPr="004764A3" w:rsidSect="00E51F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4B6B" w14:textId="77777777" w:rsidR="00E671E4" w:rsidRDefault="00E671E4" w:rsidP="007A19CC">
      <w:r>
        <w:separator/>
      </w:r>
    </w:p>
  </w:endnote>
  <w:endnote w:type="continuationSeparator" w:id="0">
    <w:p w14:paraId="459C2432" w14:textId="77777777" w:rsidR="00E671E4" w:rsidRDefault="00E671E4" w:rsidP="007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0414" w14:textId="77777777" w:rsidR="00EA0E8E" w:rsidRDefault="006C68F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8CA9C5" wp14:editId="4359A47C">
              <wp:simplePos x="0" y="0"/>
              <wp:positionH relativeFrom="page">
                <wp:posOffset>6543802</wp:posOffset>
              </wp:positionH>
              <wp:positionV relativeFrom="page">
                <wp:posOffset>10059245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610BB" w14:textId="43F85664" w:rsidR="00EA0E8E" w:rsidRDefault="006C68F3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6F5E6C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CA9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5pt;margin-top:792.0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BnIGPp4wAAAA8BAAAPAAAAAAAAAAAAAAAAAP8DAABkcnMvZG93bnJldi54bWxQ&#10;SwUGAAAAAAQABADzAAAADwUAAAAA&#10;" filled="f" stroked="f">
              <v:path arrowok="t"/>
              <v:textbox inset="0,0,0,0">
                <w:txbxContent>
                  <w:p w14:paraId="21D610BB" w14:textId="43F85664" w:rsidR="00EA0E8E" w:rsidRDefault="006C68F3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6F5E6C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D14A" w14:textId="77777777" w:rsidR="00E671E4" w:rsidRDefault="00E671E4" w:rsidP="007A19CC">
      <w:r>
        <w:separator/>
      </w:r>
    </w:p>
  </w:footnote>
  <w:footnote w:type="continuationSeparator" w:id="0">
    <w:p w14:paraId="679990B4" w14:textId="77777777" w:rsidR="00E671E4" w:rsidRDefault="00E671E4" w:rsidP="007A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203A"/>
    <w:multiLevelType w:val="hybridMultilevel"/>
    <w:tmpl w:val="2876C25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7BFE15A0"/>
    <w:multiLevelType w:val="hybridMultilevel"/>
    <w:tmpl w:val="83EEA0FA"/>
    <w:lvl w:ilvl="0" w:tplc="60D2CA26">
      <w:start w:val="1"/>
      <w:numFmt w:val="upperRoman"/>
      <w:lvlText w:val="%1."/>
      <w:lvlJc w:val="left"/>
      <w:pPr>
        <w:ind w:left="338" w:hanging="202"/>
      </w:pPr>
      <w:rPr>
        <w:rFonts w:hint="default"/>
        <w:spacing w:val="0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495" w:hanging="360"/>
      </w:pPr>
    </w:lvl>
    <w:lvl w:ilvl="2" w:tplc="11E6FF1A">
      <w:numFmt w:val="bullet"/>
      <w:lvlText w:val="□"/>
      <w:lvlJc w:val="left"/>
      <w:pPr>
        <w:ind w:left="563" w:hanging="36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16657B2">
      <w:numFmt w:val="bullet"/>
      <w:lvlText w:val="•"/>
      <w:lvlJc w:val="left"/>
      <w:pPr>
        <w:ind w:left="1657" w:hanging="363"/>
      </w:pPr>
      <w:rPr>
        <w:rFonts w:hint="default"/>
        <w:lang w:val="pl-PL" w:eastAsia="en-US" w:bidi="ar-SA"/>
      </w:rPr>
    </w:lvl>
    <w:lvl w:ilvl="4" w:tplc="AA1EDB18">
      <w:numFmt w:val="bullet"/>
      <w:lvlText w:val="•"/>
      <w:lvlJc w:val="left"/>
      <w:pPr>
        <w:ind w:left="2754" w:hanging="363"/>
      </w:pPr>
      <w:rPr>
        <w:rFonts w:hint="default"/>
        <w:lang w:val="pl-PL" w:eastAsia="en-US" w:bidi="ar-SA"/>
      </w:rPr>
    </w:lvl>
    <w:lvl w:ilvl="5" w:tplc="AB5A51A8">
      <w:numFmt w:val="bullet"/>
      <w:lvlText w:val="•"/>
      <w:lvlJc w:val="left"/>
      <w:pPr>
        <w:ind w:left="3852" w:hanging="363"/>
      </w:pPr>
      <w:rPr>
        <w:rFonts w:hint="default"/>
        <w:lang w:val="pl-PL" w:eastAsia="en-US" w:bidi="ar-SA"/>
      </w:rPr>
    </w:lvl>
    <w:lvl w:ilvl="6" w:tplc="101EADF8">
      <w:numFmt w:val="bullet"/>
      <w:lvlText w:val="•"/>
      <w:lvlJc w:val="left"/>
      <w:pPr>
        <w:ind w:left="4949" w:hanging="363"/>
      </w:pPr>
      <w:rPr>
        <w:rFonts w:hint="default"/>
        <w:lang w:val="pl-PL" w:eastAsia="en-US" w:bidi="ar-SA"/>
      </w:rPr>
    </w:lvl>
    <w:lvl w:ilvl="7" w:tplc="A5B6AAC2">
      <w:numFmt w:val="bullet"/>
      <w:lvlText w:val="•"/>
      <w:lvlJc w:val="left"/>
      <w:pPr>
        <w:ind w:left="6047" w:hanging="363"/>
      </w:pPr>
      <w:rPr>
        <w:rFonts w:hint="default"/>
        <w:lang w:val="pl-PL" w:eastAsia="en-US" w:bidi="ar-SA"/>
      </w:rPr>
    </w:lvl>
    <w:lvl w:ilvl="8" w:tplc="7FD6A8FA">
      <w:numFmt w:val="bullet"/>
      <w:lvlText w:val="•"/>
      <w:lvlJc w:val="left"/>
      <w:pPr>
        <w:ind w:left="7144" w:hanging="36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CC"/>
    <w:rsid w:val="00023DBC"/>
    <w:rsid w:val="00064E96"/>
    <w:rsid w:val="00081ADD"/>
    <w:rsid w:val="001100E1"/>
    <w:rsid w:val="00114AE4"/>
    <w:rsid w:val="00115FDD"/>
    <w:rsid w:val="001C33BE"/>
    <w:rsid w:val="00274B21"/>
    <w:rsid w:val="003552B9"/>
    <w:rsid w:val="004764A3"/>
    <w:rsid w:val="004B6597"/>
    <w:rsid w:val="005356D7"/>
    <w:rsid w:val="005F2768"/>
    <w:rsid w:val="0060538E"/>
    <w:rsid w:val="006C68F3"/>
    <w:rsid w:val="006F5E6C"/>
    <w:rsid w:val="00753B6F"/>
    <w:rsid w:val="007A19CC"/>
    <w:rsid w:val="00846CF2"/>
    <w:rsid w:val="008E33F4"/>
    <w:rsid w:val="008E4DFB"/>
    <w:rsid w:val="00A24B36"/>
    <w:rsid w:val="00AA4A1A"/>
    <w:rsid w:val="00B168A4"/>
    <w:rsid w:val="00B77DF3"/>
    <w:rsid w:val="00C136C3"/>
    <w:rsid w:val="00CF03DF"/>
    <w:rsid w:val="00D62756"/>
    <w:rsid w:val="00D9630C"/>
    <w:rsid w:val="00DA5084"/>
    <w:rsid w:val="00DD6CD7"/>
    <w:rsid w:val="00E51F8C"/>
    <w:rsid w:val="00E671E4"/>
    <w:rsid w:val="00EA0E8E"/>
    <w:rsid w:val="00EB4854"/>
    <w:rsid w:val="00F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DE32"/>
  <w15:chartTrackingRefBased/>
  <w15:docId w15:val="{74495E55-264D-49AF-89C3-8947F8F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9C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9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9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19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9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9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9C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A19CC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19CC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9CC"/>
    <w:rPr>
      <w:rFonts w:ascii="Garamond" w:eastAsia="Garamond" w:hAnsi="Garamond" w:cs="Garamond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9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6C"/>
    <w:rPr>
      <w:rFonts w:ascii="Segoe UI" w:eastAsia="Garamond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D71F-B971-4522-A52A-1ACA1C30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Kędziora</dc:creator>
  <cp:keywords/>
  <dc:description/>
  <cp:lastModifiedBy>Dorota Bajewska</cp:lastModifiedBy>
  <cp:revision>2</cp:revision>
  <cp:lastPrinted>2024-09-24T11:54:00Z</cp:lastPrinted>
  <dcterms:created xsi:type="dcterms:W3CDTF">2024-09-24T11:54:00Z</dcterms:created>
  <dcterms:modified xsi:type="dcterms:W3CDTF">2024-09-24T11:54:00Z</dcterms:modified>
</cp:coreProperties>
</file>